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1"/>
        <w:gridCol w:w="77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会计学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7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培养目标需要凝练。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在“一、专业培养目标”部分，“能在企、事业单位及政府部门从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事。。。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”，单位类型分类是否涵盖了会计师事务所、银行？这是会计专业学生重要的就业单位。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建议改为：能在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会计师事务所、银行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以及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政府部门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、其他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企事业单位从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事。。。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，结合专业实际，减少一般性的描述。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、指标点之间内涵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的重复。避免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要将培养方案中每一门课程（含实践环节）列入关系表中，体现每一门课程对培养目标、毕业要求的贡献度，不能用笼统的课程类进行描述，如“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1-3 掌握一定的科学基础知识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”，列出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法律类、社会科学类和人文科学类课程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2-4了解学科理论前沿动态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，列出了高级会计、专业理论课，“专业理论课”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要用附表中的具体课程来写明。类似情况要进一步梳理。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关系表中所列课程不能全面支撑指标点内涵，非常单薄。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同一门课程可以支撑多个指标点。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3.专业核心课程：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“财务会计”应该是中级财务会计，只有72课时，对于会计学本科专业人才的培养来说，该门课是最核心的课程，给予的地位和重视显得不够，建议分为两个学期开课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引入海洋经济管理应该是该校特色，现在仅有一门专业拓展课“海洋综合管理”，并且在课程体系中没见到它的定位。建议对该门课在人才培养目标与课程体系的关系进行论证，并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设置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2-3门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“海洋经济管理”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</w:rPr>
              <w:t>涉海特色课程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，体现海洋特色。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建议适当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增加会计信息化课程。</w:t>
            </w:r>
            <w:bookmarkStart w:id="0" w:name="_GoBack"/>
            <w:bookmarkEnd w:id="0"/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/>
                <w:sz w:val="24"/>
                <w:lang w:eastAsia="zh-CN"/>
              </w:rPr>
              <w:t>建议开设相关创新创业教育专业课程，直接支撑</w:t>
            </w:r>
            <w:r>
              <w:rPr>
                <w:rFonts w:hint="eastAsia"/>
                <w:lang w:val="en-US" w:eastAsia="zh-CN"/>
              </w:rPr>
              <w:t>学生</w:t>
            </w:r>
            <w:r>
              <w:rPr>
                <w:rFonts w:hint="eastAsia" w:ascii="宋体" w:hAnsi="宋体"/>
                <w:sz w:val="24"/>
              </w:rPr>
              <w:t>创新能力</w:t>
            </w:r>
            <w:r>
              <w:rPr>
                <w:rFonts w:hint="eastAsia" w:ascii="宋体" w:hAnsi="宋体"/>
                <w:sz w:val="24"/>
                <w:lang w:eastAsia="zh-CN"/>
              </w:rPr>
              <w:t>的</w:t>
            </w:r>
            <w:r>
              <w:rPr>
                <w:rFonts w:hint="eastAsia" w:ascii="宋体" w:hAnsi="宋体"/>
                <w:sz w:val="24"/>
              </w:rPr>
              <w:t>培养</w:t>
            </w:r>
            <w:r>
              <w:rPr>
                <w:rFonts w:hint="eastAsia" w:ascii="宋体" w:hAnsi="宋体"/>
                <w:sz w:val="24"/>
                <w:lang w:eastAsia="zh-CN"/>
              </w:rPr>
              <w:t>，实现创新创业教育与专业教育相结合。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学科专业拓展课应全部为选修性质课程，设置最低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10学分（不含方向课程和模块课程），提供15学分以上的课程供学生选择。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在当前我国大力发展管理会计教育和实践的背景下，应加大管理会计教育的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量。从课程体系来看，成本和管理会计理论和实践相关的课程受到的重视程度不够。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附表四中，《高级会计I》、《计量经济学II》，《资产评估II》等课程的名称建议删掉“I、II”。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对同一个专业来讲，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没有I也就没有II，反过来没有II，同样也不需要I来标注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，需要再核实。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C1B4C2C"/>
    <w:rsid w:val="0C245C9C"/>
    <w:rsid w:val="0EA86D90"/>
    <w:rsid w:val="12DB5170"/>
    <w:rsid w:val="17830759"/>
    <w:rsid w:val="1AE61066"/>
    <w:rsid w:val="23C55634"/>
    <w:rsid w:val="28A97586"/>
    <w:rsid w:val="2BB96F1F"/>
    <w:rsid w:val="2FA40A26"/>
    <w:rsid w:val="3A13386D"/>
    <w:rsid w:val="3FC10002"/>
    <w:rsid w:val="405C2FAB"/>
    <w:rsid w:val="4200142C"/>
    <w:rsid w:val="45351B7E"/>
    <w:rsid w:val="466E4269"/>
    <w:rsid w:val="467961A3"/>
    <w:rsid w:val="537A24F9"/>
    <w:rsid w:val="581919D7"/>
    <w:rsid w:val="630A4728"/>
    <w:rsid w:val="72552A18"/>
    <w:rsid w:val="7790026F"/>
    <w:rsid w:val="7799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2017-12-24T09:56:54Z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